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612434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96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4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 естественно-научного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Блаченова Е.Н.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«18»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1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№88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«Математика. Базовый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 xml:space="preserve"> уровень</w:t>
      </w:r>
      <w:r>
        <w:rPr>
          <w:rFonts w:ascii="Times New Roman" w:hAnsi="Times New Roman"/>
          <w:b/>
          <w:color w:val="000000"/>
          <w:sz w:val="28"/>
        </w:rPr>
        <w:t>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11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color w:val="000000"/>
          <w:sz w:val="28"/>
        </w:rPr>
        <w:t>​</w:t>
      </w:r>
      <w:bookmarkStart w:id="3" w:name="041d5c1b-4e36-4053-94f3-9ce12a6e5ba5"/>
      <w:r>
        <w:rPr>
          <w:rFonts w:ascii="Times New Roman" w:hAnsi="Times New Roman"/>
          <w:b/>
          <w:bCs/>
          <w:color w:val="000000"/>
          <w:sz w:val="28"/>
        </w:rPr>
        <w:t>с.Ленино-Кокушкино</w:t>
      </w:r>
      <w:bookmarkEnd w:id="3"/>
      <w:r>
        <w:rPr>
          <w:rFonts w:ascii="Times New Roman" w:hAnsi="Times New Roman"/>
          <w:b/>
          <w:bCs/>
          <w:color w:val="000000"/>
          <w:sz w:val="28"/>
        </w:rPr>
        <w:t xml:space="preserve">‌ </w:t>
      </w:r>
      <w:bookmarkStart w:id="4" w:name="34b057d3-b688-4a50-aec1-9ba08cc1dbee"/>
      <w:r>
        <w:rPr>
          <w:rFonts w:ascii="Times New Roman" w:hAnsi="Times New Roman"/>
          <w:b/>
          <w:bCs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bCs/>
          <w:color w:val="000000"/>
          <w:sz w:val="28"/>
        </w:rPr>
        <w:t>‌​</w:t>
      </w:r>
    </w:p>
    <w:bookmarkEnd w:id="0"/>
    <w:p>
      <w:pPr>
        <w:spacing w:after="0" w:line="264" w:lineRule="auto"/>
        <w:ind w:left="120"/>
        <w:jc w:val="center"/>
      </w:pPr>
      <w:bookmarkStart w:id="5" w:name="block-6124345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Цель освоения программы учебного курса «Геометрия» на </w:t>
      </w:r>
      <w:r>
        <w:rPr>
          <w:rFonts w:ascii="Times New Roman" w:hAnsi="Times New Roman"/>
          <w:color w:val="000000"/>
          <w:sz w:val="28"/>
          <w:lang w:val="ru-RU"/>
        </w:rPr>
        <w:t>базовом</w:t>
      </w:r>
      <w:r>
        <w:rPr>
          <w:rFonts w:ascii="Times New Roman" w:hAnsi="Times New Roman"/>
          <w:color w:val="000000"/>
          <w:sz w:val="28"/>
        </w:rPr>
        <w:t xml:space="preserve">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Приоритетными задачами курса геометри</w:t>
      </w:r>
      <w:r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</w:rPr>
        <w:t xml:space="preserve"> являются: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3d76e050-51fd-4b58-80c8-65c11753c1a9"/>
      <w:r>
        <w:rPr>
          <w:rFonts w:ascii="Times New Roman" w:hAnsi="Times New Roman"/>
          <w:color w:val="000000"/>
          <w:sz w:val="28"/>
        </w:rPr>
        <w:t xml:space="preserve">На изучение </w:t>
      </w:r>
      <w:r>
        <w:rPr>
          <w:rFonts w:ascii="Times New Roman" w:hAnsi="Times New Roman"/>
          <w:color w:val="000000"/>
          <w:sz w:val="28"/>
          <w:lang w:val="ru-RU"/>
        </w:rPr>
        <w:t>предмета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«Математика. Базовый уровень» отводится  136 часов, из них на изучение </w:t>
      </w:r>
      <w:r>
        <w:rPr>
          <w:rFonts w:ascii="Times New Roman" w:hAnsi="Times New Roman"/>
          <w:color w:val="000000"/>
          <w:sz w:val="28"/>
        </w:rPr>
        <w:t xml:space="preserve">учебного курса «Алгебра и начала математического анализа» отводится </w:t>
      </w:r>
      <w:r>
        <w:rPr>
          <w:rFonts w:hint="default"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hint="default" w:ascii="Times New Roman" w:hAnsi="Times New Roman"/>
          <w:color w:val="000000"/>
          <w:sz w:val="28"/>
          <w:lang w:val="ru-RU"/>
        </w:rPr>
        <w:t>68</w:t>
      </w:r>
      <w:r>
        <w:rPr>
          <w:rFonts w:ascii="Times New Roman" w:hAnsi="Times New Roman"/>
          <w:color w:val="000000"/>
          <w:sz w:val="28"/>
        </w:rPr>
        <w:t xml:space="preserve"> часов (</w:t>
      </w:r>
      <w:r>
        <w:rPr>
          <w:rFonts w:hint="default"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 xml:space="preserve"> часа в неделю),  </w:t>
      </w:r>
      <w:r>
        <w:rPr>
          <w:rFonts w:ascii="Times New Roman" w:hAnsi="Times New Roman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изучение учебного курса «Геометрия» -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hint="default" w:ascii="Times New Roman" w:hAnsi="Times New Roman"/>
          <w:color w:val="000000"/>
          <w:sz w:val="28"/>
          <w:lang w:val="ru-RU"/>
        </w:rPr>
        <w:t>68</w:t>
      </w:r>
      <w:r>
        <w:rPr>
          <w:rFonts w:ascii="Times New Roman" w:hAnsi="Times New Roman"/>
          <w:color w:val="000000"/>
          <w:sz w:val="28"/>
        </w:rPr>
        <w:t xml:space="preserve"> часов (</w:t>
      </w:r>
      <w:r>
        <w:rPr>
          <w:rFonts w:hint="default"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 xml:space="preserve"> часа в неделю). 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>
      <w:pPr>
        <w:sectPr>
          <w:pgSz w:w="11906" w:h="16383"/>
          <w:pgMar w:top="1134" w:right="850" w:bottom="1134" w:left="1701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rFonts w:hint="default"/>
          <w:lang w:val="ru-RU"/>
        </w:rPr>
      </w:pPr>
      <w:bookmarkStart w:id="7" w:name="block-6124344"/>
      <w:r>
        <w:rPr>
          <w:rFonts w:ascii="Times New Roman" w:hAnsi="Times New Roman"/>
          <w:b/>
          <w:color w:val="000000"/>
          <w:sz w:val="28"/>
        </w:rPr>
        <w:t xml:space="preserve">СОДЕРЖАНИЕ ОБУЧЕНИЯ </w:t>
      </w:r>
    </w:p>
    <w:p>
      <w:pPr>
        <w:spacing w:after="0" w:line="264" w:lineRule="auto"/>
        <w:jc w:val="both"/>
      </w:pP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Корень степени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eastAsia="Times New Roman" w:cs="Times New Roman"/>
          <w:sz w:val="28"/>
          <w:szCs w:val="28"/>
        </w:rPr>
        <w:t>&gt;1 и его свойства. Степень с рациональным показателем и ее свойства. Понятие о степени с действительным показателем. Свойства степени с действительным показателем.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Логарифм числа. Основное логарифмическое тождество. Логарифм произведения, частного, степени; переход к новому основанию. Десятичный и натуральный логарифмы, число 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 w:eastAsia="Times New Roman" w:cs="Times New Roman"/>
          <w:sz w:val="28"/>
          <w:szCs w:val="28"/>
        </w:rPr>
        <w:t>Преобразования выражений, включающих арифметические операции, а также операции возведения в степень и логарифмирования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Решение рациональных, показательных, логарифмических и тригонометрических уравнений и неравенств. Решение иррациональных уравнений и неравенств.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систем уравнений с двумя неизвестными (простейшие типы). Решение систем неравенств с одной переменной.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Доказательства неравенств. Неравенство о среднем арифметическом и среднем геометрическом двух чисел. 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двумя переменными и их систем. 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>
      <w:pPr>
        <w:keepNext/>
        <w:keepLines/>
        <w:spacing w:after="0" w:line="240" w:lineRule="atLeast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Площадь криволинейной трапеции. Понятие об определенном интеграле. Первообразная. Первообразные элементарных функций. Правила вычисления первообразных. Формула Ньютона-Лейбница.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/>
    <w:tbl>
      <w:tblPr>
        <w:tblStyle w:val="1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0" w:type="dxa"/>
            <w:tcBorders>
              <w:tl2br w:val="nil"/>
              <w:tr2bl w:val="nil"/>
            </w:tcBorders>
          </w:tcPr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Геометрия на плоскости.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Свойство биссектрисы угла треугольника. Решение треугольников. Вычисление биссектрис, медиан, высот, радиусов вписанной и описанной окружностей. Формулы площади треугольника: формула Герона, выражение площади треугольника через радиус вписанной и описанной окружностей. 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Вычисление углов с вершиной внутри и вне круга, угла между хордой и касательной.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Теорема о произведении отрезков хорд. Теорема о касательной и секущей. Теорема о сумме квадратов сторон и диагоналей параллелограмма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Вписанные и описанные многоугольники. Свойства и признаки вписанных и описанных четырехугольников.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Геометрические места точек. 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Решение задач с помощью геометрических преобразований и геометрических мест.</w:t>
            </w:r>
          </w:p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Теорема Чевы и теорема Менелая. </w:t>
            </w:r>
          </w:p>
          <w:p>
            <w:pPr>
              <w:keepNext/>
              <w:keepLines/>
              <w:tabs>
                <w:tab w:val="left" w:pos="1092"/>
                <w:tab w:val="left" w:pos="6804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Эллипс, гипербола, парабола как геометрические места точек.</w:t>
            </w:r>
          </w:p>
          <w:p>
            <w:pPr>
              <w:keepNext/>
              <w:keepLines/>
              <w:tabs>
                <w:tab w:val="left" w:pos="1092"/>
                <w:tab w:val="left" w:pos="6804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Неразрешимость классических задач на построение</w:t>
            </w:r>
          </w:p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0" w:type="dxa"/>
            <w:tcBorders>
              <w:tl2br w:val="nil"/>
              <w:tr2bl w:val="nil"/>
            </w:tcBorders>
          </w:tcPr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Тела и поверхности вращения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 Цилиндр и конус. Усеченный конус. Основание, высота, боковая поверхность, образующая, развертка. Осевые сечения и сечения параллельные основанию. </w:t>
            </w:r>
          </w:p>
          <w:p>
            <w:pPr>
              <w:keepNext/>
              <w:keepLines/>
              <w:tabs>
                <w:tab w:val="left" w:pos="1092"/>
                <w:tab w:val="left" w:pos="6804"/>
                <w:tab w:val="left" w:pos="934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Шар и сфера, их сечения. Эллипс, гипербола, парабола как сечения конуса. Касательная плоскость к сфере. Сфера, вписанная в многогранник, сфера, описанная около многогранника. </w:t>
            </w:r>
          </w:p>
          <w:p>
            <w:pPr>
              <w:keepNext/>
              <w:keepLines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Цилиндрические и конические поверхности</w:t>
            </w:r>
          </w:p>
          <w:p>
            <w:pPr>
              <w:keepNext/>
              <w:keepLines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0" w:type="dxa"/>
            <w:tcBorders>
              <w:tl2br w:val="nil"/>
              <w:tr2bl w:val="nil"/>
            </w:tcBorders>
          </w:tcPr>
          <w:p>
            <w:pPr>
              <w:keepNext/>
              <w:keepLines/>
              <w:tabs>
                <w:tab w:val="left" w:pos="1092"/>
                <w:tab w:val="left" w:pos="9349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Объемы тел и площади их поверхностей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Понятие об объеме тела. Отношение объемов подобных тел. </w:t>
            </w:r>
          </w:p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Формулы объема куба,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</w:t>
            </w:r>
          </w:p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0" w:type="dxa"/>
            <w:tcBorders>
              <w:tl2br w:val="nil"/>
              <w:tr2bl w:val="nil"/>
            </w:tcBorders>
          </w:tcPr>
          <w:p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Координаты и векторы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. Декартовы координаты в пространстве. Формула расстояния между двумя точками. Уравнения сферы и плоскости. Формула расстояния от точки до плоскости</w:t>
            </w:r>
          </w:p>
        </w:tc>
      </w:tr>
    </w:tbl>
    <w:p>
      <w:pPr>
        <w:spacing w:line="240" w:lineRule="auto"/>
        <w:rPr>
          <w:sz w:val="28"/>
          <w:szCs w:val="28"/>
        </w:rPr>
        <w:sectPr>
          <w:pgSz w:w="11906" w:h="16383"/>
          <w:pgMar w:top="1134" w:right="850" w:bottom="1134" w:left="1701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bookmarkEnd w:id="7"/>
    <w:p>
      <w:pPr>
        <w:spacing w:after="0" w:line="264" w:lineRule="auto"/>
        <w:ind w:left="120"/>
        <w:jc w:val="both"/>
      </w:pPr>
      <w:bookmarkStart w:id="8" w:name="block-6124346"/>
      <w:r>
        <w:rPr>
          <w:rFonts w:ascii="Times New Roman" w:hAnsi="Times New Roman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УЧЕБНОГО КУРСА «ГЕОМЕТРИЯ» (УГЛУБЛЕННЫЙ УРОВЕНЬ) НА УРОВНЕ СРЕДНЕГО ОБЩЕГО ОБРАЗОВАНИЯ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>
      <w:pPr>
        <w:spacing w:after="0" w:line="264" w:lineRule="auto"/>
        <w:ind w:left="120"/>
        <w:jc w:val="both"/>
      </w:pPr>
    </w:p>
    <w:bookmarkEnd w:id="8"/>
    <w:p>
      <w:pPr>
        <w:spacing w:after="0"/>
        <w:ind w:left="120"/>
        <w:jc w:val="center"/>
      </w:pPr>
      <w:bookmarkStart w:id="9" w:name="block-6124343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491"/>
        <w:gridCol w:w="1667"/>
        <w:gridCol w:w="1756"/>
        <w:gridCol w:w="340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4914" w:type="dxa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5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473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315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766" w:hRule="atLeast"/>
          <w:tblCellSpacing w:w="0" w:type="dxa"/>
        </w:trPr>
        <w:tc>
          <w:tcPr>
            <w:tcW w:w="987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4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 курса алгебры 10 класса</w:t>
            </w:r>
          </w:p>
        </w:tc>
        <w:tc>
          <w:tcPr>
            <w:tcW w:w="1491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667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56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Единая коллекция цифровых ресурсов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"http://school-collection.edu.ru/catalog/search"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t>http://school-collection.edu.ru/catalog/search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510" w:hRule="atLeast"/>
          <w:tblCellSpacing w:w="0" w:type="dxa"/>
        </w:trPr>
        <w:tc>
          <w:tcPr>
            <w:tcW w:w="987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right="205" w:rightChars="0"/>
              <w:jc w:val="righ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4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left="107" w:leftChars="0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Степени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корни.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Степенные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491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667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56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left="107" w:left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Показательная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логарифмическая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"http://school-collection.edu.ru/catalog/search"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t>http://school-collection.edu.ru/catalog/search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3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Первообразная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интеграл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"http://school-collection.edu.ru/catalog/search"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t>http://school-collection.edu.ru/catalog/search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3" w:lineRule="exact"/>
              <w:ind w:left="10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Элементы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математической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статистики,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комбинаторики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</w:t>
            </w:r>
          </w:p>
          <w:p>
            <w:pPr>
              <w:pStyle w:val="24"/>
              <w:spacing w:before="41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теории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вероятностей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"http://school-collection.edu.ru/catalog/search"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t>http://school-collection.edu.ru/catalog/search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1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left="10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Уравнения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неравенства.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Системы уравнений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</w:t>
            </w:r>
          </w:p>
          <w:p>
            <w:pPr>
              <w:pStyle w:val="24"/>
              <w:spacing w:before="43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1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1" w:lineRule="exact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Обобщающее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 курса алгебры 10-11 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1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1" w:lineRule="exact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курса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1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Метод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координат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1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Цилиндр,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конус,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"http://school-collection.edu.ru/catalog/search"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t>http://school-collection.edu.ru/catalog/search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1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0" w:lineRule="exact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Объемы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"http://school-collection.edu.ru/catalog/search"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t>http://school-collection.edu.ru/catalog/search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254" w:type="dxa"/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1" w:lineRule="exact"/>
              <w:ind w:right="205" w:rightChars="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top"/>
          </w:tcPr>
          <w:p>
            <w:pPr>
              <w:pStyle w:val="24"/>
              <w:spacing w:line="273" w:lineRule="exact"/>
              <w:ind w:left="107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Обобщающее повторение курса геометрии 10-11 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8+5 (резерв)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bookmarkEnd w:id="9"/>
    <w:p>
      <w:pPr>
        <w:spacing w:after="0"/>
        <w:ind w:left="120"/>
        <w:jc w:val="center"/>
      </w:pPr>
      <w:bookmarkStart w:id="10" w:name="block-6124342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Style w:val="7"/>
        <w:tblW w:w="316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069"/>
        <w:gridCol w:w="1418"/>
        <w:gridCol w:w="1817"/>
        <w:gridCol w:w="1930"/>
        <w:gridCol w:w="3624"/>
        <w:gridCol w:w="86"/>
        <w:gridCol w:w="4192"/>
        <w:gridCol w:w="4278"/>
        <w:gridCol w:w="4278"/>
        <w:gridCol w:w="42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  <w:vMerge w:val="restart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69" w:type="dxa"/>
            <w:vMerge w:val="restart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418" w:type="dxa"/>
            <w:vMerge w:val="restart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747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  <w:vMerge w:val="continue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  <w:vMerge w:val="continue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Практические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3710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3" w:type="dxa"/>
            <w:gridSpan w:val="5"/>
            <w:shd w:val="clear" w:color="auto" w:fill="D8D8D8" w:themeFill="background1" w:themeFillShade="D9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highlight w:val="none"/>
              </w:rPr>
              <w:t>Степени и корни. Степенные функции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iCs/>
                <w:caps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iCs/>
                <w:caps/>
                <w:sz w:val="24"/>
                <w:szCs w:val="24"/>
                <w:highlight w:val="none"/>
                <w:u w:val="single"/>
                <w:lang w:val="ru-RU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iCs/>
                <w:sz w:val="24"/>
                <w:szCs w:val="24"/>
                <w:u w:val="single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iCs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часов)</w:t>
            </w: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19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600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9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 xml:space="preserve">Повторение курса 10 класса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412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9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 xml:space="preserve">Повторение курса 10 класса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9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 xml:space="preserve">Повторение курса 10 класса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369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Понятие корня n-ой степени из действительного числа.  Повторение.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60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Понятие корня n-ой степени из действительного числа.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64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Понятие корня n-ой степени из действительного числа.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9" w:type="dxa"/>
            <w:vAlign w:val="center"/>
          </w:tcPr>
          <w:p>
            <w:pPr>
              <w:tabs>
                <w:tab w:val="left" w:pos="9435"/>
              </w:tabs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Функции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hint="default" w:ascii="Times New Roman" w:hAnsi="Times New Roman" w:cs="Times New Roman"/>
                <w:color w:val="000000"/>
                <w:position w:val="-8"/>
                <w:sz w:val="24"/>
                <w:szCs w:val="24"/>
                <w:lang w:val="en-US"/>
              </w:rPr>
              <w:object>
                <v:shape id="_x0000_i1032" o:spt="75" type="#_x0000_t75" style="height:18.95pt;width:18.9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25" r:id="rId6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, их  свойства и  графики.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Функции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hint="default" w:ascii="Times New Roman" w:hAnsi="Times New Roman" w:cs="Times New Roman"/>
                <w:color w:val="000000"/>
                <w:position w:val="-8"/>
                <w:sz w:val="24"/>
                <w:szCs w:val="24"/>
                <w:lang w:val="en-US"/>
              </w:rPr>
              <w:object>
                <v:shape id="_x0000_i1033" o:spt="75" type="#_x0000_t75" style="height:18.95pt;width:18.9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26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, их  свойства и  графики.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Функции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=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position w:val="-8"/>
                <w:sz w:val="24"/>
                <w:szCs w:val="24"/>
                <w:lang w:val="en-US"/>
              </w:rPr>
              <w:object>
                <v:shape id="_x0000_i1034" o:spt="75" type="#_x0000_t75" style="height:18.95pt;width:18.9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27" r:id="rId9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, их  свойства и  графики.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069" w:type="dxa"/>
            <w:vAlign w:val="center"/>
          </w:tcPr>
          <w:p>
            <w:pPr>
              <w:tabs>
                <w:tab w:val="left" w:pos="9435"/>
              </w:tabs>
              <w:jc w:val="both"/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Свойства корня n-ой степени.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Свойства корня n-ой степени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Свойства корня n-ой степени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069" w:type="dxa"/>
            <w:vAlign w:val="center"/>
          </w:tcPr>
          <w:p>
            <w:pPr>
              <w:tabs>
                <w:tab w:val="left" w:pos="9435"/>
              </w:tabs>
              <w:jc w:val="both"/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Преобразование выражений, содержащих радикалы.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Преобразование выражений, содержащих радикалы.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Преобразование выражений, содержащих радикалы.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Преобразование выражений, содержащих радикалы.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Контрольная работа    по теме 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«Степени и корни»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90" w:hRule="atLeast"/>
        </w:trPr>
        <w:tc>
          <w:tcPr>
            <w:tcW w:w="10943" w:type="dxa"/>
            <w:gridSpan w:val="5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sz w:val="24"/>
                <w:szCs w:val="24"/>
              </w:rPr>
              <w:t>Метод координат в пространстве</w:t>
            </w: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sz w:val="24"/>
                <w:szCs w:val="24"/>
                <w:lang w:val="ru-RU"/>
              </w:rPr>
              <w:t xml:space="preserve"> (15 часов)</w:t>
            </w: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курса 10 класса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Повторение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курса 10 класса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работы. Декартовы координаты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Декартовы координаты в пространстве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вектора.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координатным векторам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между координатами векторов и координатами точек. Радиус-вектор.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Координаты середины отрезка.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длины вектора по его координатам.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90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val="ru-RU"/>
              </w:rPr>
              <w:t>Контрольная</w:t>
            </w:r>
            <w: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val="ru-RU"/>
              </w:rPr>
              <w:t xml:space="preserve"> работа  по теме </w:t>
            </w:r>
            <w: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«Координаты точки и координаты вектора»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векторами. Скалярное произведение векторов.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свойства скалярного произведения векторов.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«Метод координат в пространстве»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двумя прямыми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симметрия. Осевая симметрия. Зеркальная симметрия. Параллельный перенос.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</w:rPr>
              <w:t xml:space="preserve">Контрольная работа 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>по теме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</w:rPr>
              <w:t xml:space="preserve"> «Скалярное произведение векторов. Движения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5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hint="default"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Показательная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логарифмическая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функции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(20 часов)</w:t>
            </w: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06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Показательная функция, её свойства и график.                     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Показательная функция, её свойства и график.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506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Показательные уравнения.        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506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Показательные неравенства.     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Показательные неравенства.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506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Понятие логарифма.                   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506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Логарифмическая функция, её свойства и график.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506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по теме «Показательные уравнения и неравенства. Логарифмическая функция»                                           </w:t>
            </w:r>
          </w:p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506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Свойства логарифма.                  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Свойства логарифма.                  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Логарифмические уравнения.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Логарифмические уравнения.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Логарифмические уравнения.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Логарифмические неравенства.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Логарифмические неравенства.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Переход к новому основанию.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Дифференцирование показательной и логарифмической функций.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Контрольная работа   по теме «Логарифмические уравнения и неравенства»    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5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Цилиндр,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конус,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шар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(20 часов)</w:t>
            </w: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keepNext/>
              <w:keepLines/>
              <w:spacing w:line="240" w:lineRule="atLeast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Понятие цилиндра. Площадь поверхности цилиндра.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650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«Площадь поверхности цилиндра»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«Площадь поверхности цилиндра»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Самостоятельная работа по теме «Площадь поверхности цилиндра»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Понятие конуса. Площадь поверхности конуса.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Усечённый конус.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«Конус»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«Конус»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Сфера и шар. Уравнение сферы.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Взаимное расположение сферы и плоскости.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68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Касательная плоскость к сфере.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61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Площадь сферы.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4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Площадь сферы.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5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на различные комбинации тел.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5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Разные задачи на многогранники, цилиндр, конус, шар.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5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«Цилиндр, конус, шар»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5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«Цилиндр, конус, шар»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5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«Цилиндр, конус, шар»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«Цилиндр, конус, шар»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506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по теме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</w:rPr>
              <w:t xml:space="preserve"> «Цилиндр, конус, шар»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0943" w:type="dxa"/>
            <w:gridSpan w:val="5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Первообразная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интеграл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(12 часов)</w:t>
            </w: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5069" w:type="dxa"/>
            <w:vAlign w:val="center"/>
          </w:tcPr>
          <w:p>
            <w:pPr>
              <w:pStyle w:val="26"/>
              <w:spacing w:before="0"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 xml:space="preserve">Первообразная и неопределенный интеграл.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Первообразная и неопределенный интеграл.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Первообразная и неопределенный интеграл.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Первообразная и неопределенный интеграл.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581" w:hRule="atLeast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5069" w:type="dxa"/>
            <w:vAlign w:val="center"/>
          </w:tcPr>
          <w:p>
            <w:pPr>
              <w:pStyle w:val="26"/>
              <w:spacing w:before="0"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 xml:space="preserve">Определенный интеграл.            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Определенный интеграл.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Определенный интеграл.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Определенный интеграл.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Ньютона – Лейбница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Площадь криволинейной трапеции.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Примеры применения интеграла в физике и геометрии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i/>
                <w:iCs/>
                <w:sz w:val="24"/>
                <w:szCs w:val="24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/>
                <w:b w:val="0"/>
                <w:bCs/>
                <w:i/>
                <w:iCs/>
                <w:sz w:val="24"/>
                <w:szCs w:val="24"/>
                <w:u w:val="single"/>
              </w:rPr>
              <w:t>«Первообразная и интеграл»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3" w:type="dxa"/>
            <w:gridSpan w:val="5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  <w:t>Объемы</w:t>
            </w:r>
            <w:r>
              <w:rPr>
                <w:rFonts w:hint="default"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  <w:t xml:space="preserve"> тел (17 часов)</w:t>
            </w:r>
          </w:p>
        </w:tc>
        <w:tc>
          <w:tcPr>
            <w:tcW w:w="3710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19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 в группе. Практикум.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Понятие объёма. Объём прямоугольного параллелепипеда.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«Объём прямоугольного параллелепипеда»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«Объём прямоугольного параллелепипеда»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Объём прямой призмы.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Объём цилиндра.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на вычисление объёмов прямой призмы и цилиндра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Вычисление объёмов тел с помощью определённого интеграла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Объём наклонной призмы.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Объём пирамиды.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на вычисление объёма пирамиды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</w:rPr>
              <w:t xml:space="preserve">Контрольная работа 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>по теме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</w:rPr>
              <w:t xml:space="preserve"> «Объёмы призмы, пирамиды, цилиндра, конуса»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Объём шара.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на вычисление объёма шара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Объёмы шарового сегмента, шарового слоя, шарового сектора.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Площадь сферы.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5069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на вычисление площади сферы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</w:rPr>
              <w:t xml:space="preserve">Контрольная работа 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>по теме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4"/>
                <w:szCs w:val="24"/>
              </w:rPr>
              <w:t xml:space="preserve"> «Объём шара и площадь сферы»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  <w:trHeight w:val="870" w:hRule="atLeast"/>
        </w:trPr>
        <w:tc>
          <w:tcPr>
            <w:tcW w:w="14653" w:type="dxa"/>
            <w:gridSpan w:val="7"/>
          </w:tcPr>
          <w:p>
            <w:pPr>
              <w:pStyle w:val="24"/>
              <w:spacing w:line="273" w:lineRule="exact"/>
              <w:ind w:left="107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Элементы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математической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статистики,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комбинаторики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</w:p>
          <w:p>
            <w:pPr>
              <w:tabs>
                <w:tab w:val="left" w:pos="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теории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вероятностей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(7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Статистическая обработка данных.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Простейшие вероятностные задачи.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Сочетания и размещения.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Сочетания и размещения.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720"/>
              </w:tabs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Формула бинома Ньютона.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Случайные события и их вероятности.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 xml:space="preserve">  по теме «Элементы комбинаторики, статистики и теории вероятностей»                 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14567" w:type="dxa"/>
            <w:gridSpan w:val="6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24"/>
              <w:spacing w:line="270" w:lineRule="exact"/>
              <w:ind w:left="107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Уравнения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неравенства.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Системы уравнений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</w:p>
          <w:p>
            <w:pPr>
              <w:autoSpaceDE w:val="0"/>
              <w:autoSpaceDN w:val="0"/>
              <w:adjustRightInd w:val="0"/>
              <w:spacing w:line="228" w:lineRule="auto"/>
              <w:ind w:right="-4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неравенств (10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Равносильность уравнений. 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720"/>
              </w:tabs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Общие методы решения уравнений.                                        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Общие методы решения уравнений.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720"/>
              </w:tabs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Решение неравенств с одной переменной.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Решение неравенств с одной переменной.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Решение неравенств с одной переменной.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720"/>
              </w:tabs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Системы уравнений.                   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7112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0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Системы уравнений.                                                               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Системы неравенств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069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Контрольная работ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по теме «Решение уравнений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и систем уравнений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»  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14653" w:type="dxa"/>
            <w:gridSpan w:val="7"/>
          </w:tcPr>
          <w:p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Обобщающее повторение  10-11 класса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Повторение. Степени и корни 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Показательные функция, уравнения, неравенства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Логарифмические функция, уравнения, неравенства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Логарифмические функция, уравнения, неравенства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Уравнения и неравенства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Уравнения и неравенства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тестовых заданий с выбором ответа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качественных тестовых заданий с числовым ответом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качественных тестовых заданий с числовым ответом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Проблемные тестовые задания с полным ответом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Многогранники: параллелепипед, призма, пирамида, площади их поверхностей, объемы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Многогранники: параллелепипед, призма, пирамида, площади их поверхностей, объемы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Векторы в пространстве. Действия над векторами. Скалярное произведение векторов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</w:tcPr>
          <w:p>
            <w:pPr>
              <w:tabs>
                <w:tab w:val="left" w:pos="0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Цилиндр, конус и шар, площади их поверхностей, объемы.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Цилиндр, конус и шар, площади их поверхностей, объемы.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28" w:lineRule="auto"/>
              <w:ind w:right="-4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026" w:type="dxa"/>
        </w:trPr>
        <w:tc>
          <w:tcPr>
            <w:tcW w:w="709" w:type="dxa"/>
          </w:tcPr>
          <w:p>
            <w:pPr>
              <w:tabs>
                <w:tab w:val="left" w:pos="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069" w:type="dxa"/>
            <w:vAlign w:val="top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вариантов ЕГЭ</w:t>
            </w:r>
          </w:p>
        </w:tc>
        <w:tc>
          <w:tcPr>
            <w:tcW w:w="1418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10"/>
      <w:bookmarkStart w:id="11" w:name="block-612434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76705523-d600-492c-bad3-a6eb7c5a188f"/>
      <w:r>
        <w:rPr>
          <w:rFonts w:ascii="Times New Roman" w:hAnsi="Times New Roman"/>
          <w:color w:val="000000"/>
          <w:sz w:val="28"/>
        </w:rPr>
        <w:t xml:space="preserve">• Математика: алгебра и начала математического анализа, геометрия. Алгебра и начала математического анализа (в 2 частях), </w:t>
      </w:r>
      <w:r>
        <w:rPr>
          <w:rFonts w:hint="default" w:ascii="Times New Roman" w:hAnsi="Times New Roman"/>
          <w:color w:val="000000"/>
          <w:sz w:val="28"/>
          <w:lang w:val="ru-RU"/>
        </w:rPr>
        <w:t>10-</w:t>
      </w:r>
      <w:r>
        <w:rPr>
          <w:rFonts w:ascii="Times New Roman" w:hAnsi="Times New Roman"/>
          <w:color w:val="000000"/>
          <w:sz w:val="28"/>
        </w:rPr>
        <w:t>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9053a3a9-475f-4974-9841-836c883d3eaf"/>
      <w:r>
        <w:rPr>
          <w:rFonts w:ascii="Times New Roman" w:hAnsi="Times New Roman"/>
          <w:color w:val="000000"/>
          <w:sz w:val="28"/>
        </w:rPr>
        <w:t>Математика: алгебра и начала математического анализа, геометрия. Алгебра и начала математического анализа (в 2 частях), 10</w:t>
      </w:r>
      <w:r>
        <w:rPr>
          <w:rFonts w:hint="default" w:ascii="Times New Roman" w:hAnsi="Times New Roman"/>
          <w:color w:val="000000"/>
          <w:sz w:val="28"/>
          <w:lang w:val="ru-RU"/>
        </w:rPr>
        <w:t>-11</w:t>
      </w:r>
      <w:bookmarkStart w:id="18" w:name="_GoBack"/>
      <w:bookmarkEnd w:id="18"/>
      <w:r>
        <w:rPr>
          <w:rFonts w:ascii="Times New Roman" w:hAnsi="Times New Roman"/>
          <w:color w:val="000000"/>
          <w:sz w:val="28"/>
        </w:rPr>
        <w:t xml:space="preserve">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3"/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‌</w:t>
      </w:r>
      <w:bookmarkStart w:id="14" w:name="6c21ead6-5875-46fb-8f95-29ebaf147b06"/>
      <w:r>
        <w:rPr>
          <w:rFonts w:ascii="Times New Roman" w:hAnsi="Times New Roman"/>
          <w:color w:val="000000"/>
          <w:sz w:val="28"/>
        </w:rPr>
        <w:t>Математика: алгебра и начало математического анализа, геометрия. Л.С.Атанасян, В.Ф.Бутузов, С.Б.Кадомцев, Л.С.Киселева, Э.Г.Позняк. Издательство "Просвящения" 2014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​​‌Методические рекомендации. 10-11 классы (к учебнику Атанасян Л. С. и др.)</w:t>
      </w:r>
      <w:r>
        <w:rPr>
          <w:sz w:val="28"/>
        </w:rPr>
        <w:br w:type="textWrapping"/>
      </w:r>
      <w:bookmarkStart w:id="15" w:name="b019da24-adf5-4c55-8faf-7d417badf439"/>
      <w:r>
        <w:rPr>
          <w:rFonts w:ascii="Times New Roman" w:hAnsi="Times New Roman"/>
          <w:color w:val="000000"/>
          <w:sz w:val="28"/>
        </w:rPr>
        <w:t xml:space="preserve"> Поурочные разработки по геометрии 10-11 класс, автор: В.А. Яровенко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  А.Г. Мордкович Алгебра и начала анализа.10-4. Методическое пособие для учителя. – М.: Мнемозина, 2017;</w:t>
      </w:r>
      <w:r>
        <w:rPr>
          <w:sz w:val="28"/>
        </w:rPr>
        <w:br w:type="textWrapping"/>
      </w:r>
      <w:bookmarkStart w:id="16" w:name="d8728230-5928-44d5-8479-c071b6ca96aa"/>
      <w:r>
        <w:rPr>
          <w:rFonts w:ascii="Times New Roman" w:hAnsi="Times New Roman"/>
          <w:color w:val="000000"/>
          <w:sz w:val="28"/>
        </w:rPr>
        <w:t xml:space="preserve">  Сборники для подготовки </w:t>
      </w:r>
      <w:r>
        <w:rPr>
          <w:rFonts w:ascii="Times New Roman" w:hAnsi="Times New Roman"/>
          <w:color w:val="000000"/>
          <w:sz w:val="28"/>
          <w:lang w:val="ru-RU"/>
        </w:rPr>
        <w:t>к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ЕГЭ </w:t>
      </w:r>
      <w:r>
        <w:rPr>
          <w:rFonts w:ascii="Times New Roman" w:hAnsi="Times New Roman"/>
          <w:color w:val="000000"/>
          <w:sz w:val="28"/>
        </w:rPr>
        <w:t>по редакцией Ященко 2023-2024 гг.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/>
        <w:ind w:left="120"/>
      </w:pP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Открытый банк заданий по математике www.fipi.ru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Федеральный центр тестирования www.rustest.ru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Решу ЕГЭ https://ege.sdamgia.ru/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Диагностические и тренировочные варианты СтатГрад https://math100.ru/ege-profil2024/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Всероссийская олимпиада школьников http://www.rusolymp.ru</w:t>
      </w:r>
      <w:bookmarkEnd w:id="11"/>
      <w:bookmarkStart w:id="17" w:name="c1c519a7-0172-427c-b1b9-8c5ea50a5861"/>
      <w:bookmarkEnd w:id="17"/>
    </w:p>
    <w:sectPr>
      <w:pgSz w:w="11907" w:h="16839"/>
      <w:pgMar w:top="1440" w:right="1440" w:bottom="1440" w:left="144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Rockwell Nova Light">
    <w:panose1 w:val="02060303020205020403"/>
    <w:charset w:val="00"/>
    <w:family w:val="auto"/>
    <w:pitch w:val="default"/>
    <w:sig w:usb0="8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D081C"/>
    <w:rsid w:val="00457918"/>
    <w:rsid w:val="00B351CE"/>
    <w:rsid w:val="00FD081C"/>
    <w:rsid w:val="3A8C23F2"/>
    <w:rsid w:val="66F00ADC"/>
    <w:rsid w:val="6BAC4FE5"/>
    <w:rsid w:val="73B3209D"/>
    <w:rsid w:val="7AB2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23">
    <w:name w:val="List Paragraph"/>
    <w:basedOn w:val="1"/>
    <w:qFormat/>
    <w:uiPriority w:val="99"/>
    <w:pPr>
      <w:ind w:left="720"/>
      <w:contextualSpacing/>
    </w:pPr>
  </w:style>
  <w:style w:type="paragraph" w:customStyle="1" w:styleId="24">
    <w:name w:val="Table Paragraph"/>
    <w:basedOn w:val="1"/>
    <w:qFormat/>
    <w:uiPriority w:val="1"/>
  </w:style>
  <w:style w:type="table" w:customStyle="1" w:styleId="2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WW-Обычный (веб)"/>
    <w:basedOn w:val="1"/>
    <w:uiPriority w:val="0"/>
    <w:pPr>
      <w:widowControl/>
      <w:suppressAutoHyphens/>
      <w:autoSpaceDE/>
      <w:autoSpaceDN/>
      <w:spacing w:before="280" w:after="119"/>
    </w:pPr>
    <w:rPr>
      <w:sz w:val="24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43</Pages>
  <Words>9536</Words>
  <Characters>54361</Characters>
  <Lines>453</Lines>
  <Paragraphs>127</Paragraphs>
  <TotalTime>5</TotalTime>
  <ScaleCrop>false</ScaleCrop>
  <LinksUpToDate>false</LinksUpToDate>
  <CharactersWithSpaces>63770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2023-09-06T11:24:00Z</dcterms:created>
  <dc:creator>75toc</dc:creator>
  <cp:lastModifiedBy>школа</cp:lastModifiedBy>
  <cp:lastPrinted>2023-09-26T12:10:07Z</cp:lastPrinted>
  <dcterms:modified xsi:type="dcterms:W3CDTF">2023-09-26T12:10:23Z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9AEE565A4CE34A348A19394364AC03EA</vt:lpwstr>
  </property>
</Properties>
</file>